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38EE913" w:rsidR="00350D28" w:rsidRDefault="00457AC2">
      <w:pPr>
        <w:spacing w:line="276" w:lineRule="auto"/>
        <w:rPr>
          <w:rFonts w:ascii="Times New Roman" w:eastAsia="Times New Roman" w:hAnsi="Times New Roman" w:cs="Times New Roman"/>
        </w:rPr>
      </w:pPr>
      <w:r>
        <w:rPr>
          <w:rFonts w:ascii="Times New Roman" w:eastAsia="Times New Roman" w:hAnsi="Times New Roman" w:cs="Times New Roman"/>
        </w:rPr>
        <w:t>Submission by the United States of America</w:t>
      </w:r>
      <w:r w:rsidR="00374209">
        <w:rPr>
          <w:rFonts w:ascii="Times New Roman" w:eastAsia="Times New Roman" w:hAnsi="Times New Roman" w:cs="Times New Roman"/>
        </w:rPr>
        <w:br/>
        <w:t>August 22, 2019</w:t>
      </w:r>
    </w:p>
    <w:p w14:paraId="00000002" w14:textId="77777777" w:rsidR="00350D28" w:rsidRDefault="00350D28">
      <w:pPr>
        <w:spacing w:line="276" w:lineRule="auto"/>
        <w:rPr>
          <w:rFonts w:ascii="Times New Roman" w:eastAsia="Times New Roman" w:hAnsi="Times New Roman" w:cs="Times New Roman"/>
        </w:rPr>
      </w:pPr>
    </w:p>
    <w:p w14:paraId="00000003" w14:textId="77777777" w:rsidR="00350D28" w:rsidRDefault="00457AC2">
      <w:pPr>
        <w:spacing w:line="276" w:lineRule="auto"/>
        <w:rPr>
          <w:rFonts w:ascii="Times New Roman" w:eastAsia="Times New Roman" w:hAnsi="Times New Roman" w:cs="Times New Roman"/>
          <w:b/>
        </w:rPr>
      </w:pPr>
      <w:r>
        <w:rPr>
          <w:rFonts w:ascii="Times New Roman" w:eastAsia="Times New Roman" w:hAnsi="Times New Roman" w:cs="Times New Roman"/>
          <w:b/>
        </w:rPr>
        <w:t>Introduction</w:t>
      </w:r>
    </w:p>
    <w:p w14:paraId="00000004" w14:textId="77777777" w:rsidR="00350D28" w:rsidRDefault="00350D28">
      <w:pPr>
        <w:spacing w:line="276" w:lineRule="auto"/>
        <w:rPr>
          <w:rFonts w:ascii="Times New Roman" w:eastAsia="Times New Roman" w:hAnsi="Times New Roman" w:cs="Times New Roman"/>
        </w:rPr>
      </w:pPr>
    </w:p>
    <w:p w14:paraId="00000005" w14:textId="77777777" w:rsidR="00350D28" w:rsidRDefault="00457AC2">
      <w:pPr>
        <w:spacing w:line="276" w:lineRule="auto"/>
        <w:rPr>
          <w:rFonts w:ascii="Times New Roman" w:eastAsia="Times New Roman" w:hAnsi="Times New Roman" w:cs="Times New Roman"/>
        </w:rPr>
      </w:pPr>
      <w:r>
        <w:rPr>
          <w:rFonts w:ascii="Times New Roman" w:eastAsia="Times New Roman" w:hAnsi="Times New Roman" w:cs="Times New Roman"/>
        </w:rPr>
        <w:t xml:space="preserve">The United States welcomes the invitation from the Adaptation Committee to present its views and share its experience in mainstreaming gender considerations in programming, including adaptation planning and action. </w:t>
      </w:r>
    </w:p>
    <w:p w14:paraId="00000006" w14:textId="77777777" w:rsidR="00350D28" w:rsidRDefault="00350D28">
      <w:pPr>
        <w:spacing w:line="276" w:lineRule="auto"/>
        <w:rPr>
          <w:rFonts w:ascii="Times New Roman" w:eastAsia="Times New Roman" w:hAnsi="Times New Roman" w:cs="Times New Roman"/>
        </w:rPr>
      </w:pPr>
    </w:p>
    <w:p w14:paraId="00000007" w14:textId="40D98794" w:rsidR="00350D28" w:rsidRDefault="00457AC2">
      <w:pPr>
        <w:pBdr>
          <w:top w:val="nil"/>
          <w:left w:val="nil"/>
          <w:bottom w:val="nil"/>
          <w:right w:val="nil"/>
          <w:between w:val="nil"/>
        </w:pBdr>
        <w:shd w:val="clear" w:color="auto" w:fill="FFFFFF"/>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United States recognizes that societies that empower women economically and politically are more prosperous and peaceful, and is committed to investing in women’s empowerment and equality between women and men. One way the United States is harmonizing these goals is </w:t>
      </w:r>
      <w:r w:rsidR="00F41A74">
        <w:rPr>
          <w:rFonts w:ascii="Times New Roman" w:eastAsia="Times New Roman" w:hAnsi="Times New Roman" w:cs="Times New Roman"/>
          <w:color w:val="000000"/>
        </w:rPr>
        <w:t xml:space="preserve">reflected in </w:t>
      </w:r>
      <w:r>
        <w:rPr>
          <w:rFonts w:ascii="Times New Roman" w:eastAsia="Times New Roman" w:hAnsi="Times New Roman" w:cs="Times New Roman"/>
          <w:color w:val="000000"/>
        </w:rPr>
        <w:t>a new U.S. law – the Women’s Entrepreneurship and Economic Empowerment (WEEE) Act</w:t>
      </w:r>
      <w:r w:rsidR="00F41A74">
        <w:rPr>
          <w:rFonts w:ascii="Times New Roman" w:eastAsia="Times New Roman" w:hAnsi="Times New Roman" w:cs="Times New Roman"/>
          <w:color w:val="000000"/>
        </w:rPr>
        <w:t xml:space="preserve"> of 2018</w:t>
      </w:r>
      <w:r>
        <w:rPr>
          <w:rFonts w:ascii="Times New Roman" w:eastAsia="Times New Roman" w:hAnsi="Times New Roman" w:cs="Times New Roman"/>
          <w:color w:val="000000"/>
        </w:rPr>
        <w:t xml:space="preserve">. </w:t>
      </w:r>
      <w:r w:rsidR="00F41A74">
        <w:rPr>
          <w:rFonts w:ascii="Times New Roman" w:eastAsia="Times New Roman" w:hAnsi="Times New Roman" w:cs="Times New Roman"/>
          <w:color w:val="000000"/>
        </w:rPr>
        <w:t>Under t</w:t>
      </w:r>
      <w:r>
        <w:rPr>
          <w:rFonts w:ascii="Times New Roman" w:eastAsia="Times New Roman" w:hAnsi="Times New Roman" w:cs="Times New Roman"/>
          <w:color w:val="000000"/>
        </w:rPr>
        <w:t>he WEEE Act</w:t>
      </w:r>
      <w:r w:rsidR="00F41A74">
        <w:rPr>
          <w:rFonts w:ascii="Times New Roman" w:eastAsia="Times New Roman" w:hAnsi="Times New Roman" w:cs="Times New Roman"/>
          <w:color w:val="000000"/>
        </w:rPr>
        <w:t xml:space="preserve"> and its existing policies,</w:t>
      </w:r>
      <w:r>
        <w:rPr>
          <w:rFonts w:ascii="Times New Roman" w:eastAsia="Times New Roman" w:hAnsi="Times New Roman" w:cs="Times New Roman"/>
          <w:color w:val="000000"/>
        </w:rPr>
        <w:t xml:space="preserve"> the U.S. Agency for International Development (USAID) perform</w:t>
      </w:r>
      <w:r w:rsidR="00F41A74">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a gender analysis on each of its programs across all sectors, including those related to climate change and the environment. The WEEE Act codifies portions of USAID’s Gender Equality and Female Empowerment (GEFE) policy. Following implementation of the GEFE Policy, USAID has gained significant experience in integrating gender considerations in programs and policies. This submission presents some of the findings from USAID’s experiences in integrating gender consideration in development programming. While not specific to adaptation planning and action, the lessons learned from USAID’s experiences are relevant to the Adaptation Committee’s activities on incorporating gender considerations. </w:t>
      </w:r>
    </w:p>
    <w:p w14:paraId="00000008" w14:textId="77777777" w:rsidR="00350D28" w:rsidRDefault="00350D28">
      <w:pPr>
        <w:spacing w:line="276" w:lineRule="auto"/>
        <w:rPr>
          <w:rFonts w:ascii="Times New Roman" w:eastAsia="Times New Roman" w:hAnsi="Times New Roman" w:cs="Times New Roman"/>
        </w:rPr>
      </w:pPr>
    </w:p>
    <w:p w14:paraId="0000000C" w14:textId="79976454" w:rsidR="00350D28" w:rsidRDefault="00457AC2">
      <w:pPr>
        <w:spacing w:line="276" w:lineRule="auto"/>
        <w:rPr>
          <w:rFonts w:ascii="Times New Roman" w:eastAsia="Times New Roman" w:hAnsi="Times New Roman" w:cs="Times New Roman"/>
          <w:b/>
        </w:rPr>
      </w:pPr>
      <w:r>
        <w:rPr>
          <w:rFonts w:ascii="Times New Roman" w:eastAsia="Times New Roman" w:hAnsi="Times New Roman" w:cs="Times New Roman"/>
          <w:b/>
        </w:rPr>
        <w:t>Good practices for incorporating gender in policies, programs</w:t>
      </w:r>
      <w:r w:rsidR="005B633E">
        <w:rPr>
          <w:rFonts w:ascii="Times New Roman" w:eastAsia="Times New Roman" w:hAnsi="Times New Roman" w:cs="Times New Roman"/>
          <w:b/>
        </w:rPr>
        <w:t>, and adaptation interventions</w:t>
      </w:r>
    </w:p>
    <w:p w14:paraId="0000000D" w14:textId="77777777" w:rsidR="00350D28" w:rsidRDefault="00350D28">
      <w:pPr>
        <w:spacing w:line="276" w:lineRule="auto"/>
        <w:rPr>
          <w:rFonts w:ascii="Times New Roman" w:eastAsia="Times New Roman" w:hAnsi="Times New Roman" w:cs="Times New Roman"/>
        </w:rPr>
      </w:pPr>
    </w:p>
    <w:p w14:paraId="0000000E" w14:textId="2144621D" w:rsidR="00350D28" w:rsidRDefault="00457AC2">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In the United States, it has become common practice to include gender-sensitive indicators in international development policy and project monitoring and evaluation as a method for promoting, and measuring the progress of, the integration of gender considerations. While this has been effective in counting the number of women and girls who benefit from specific interventions and highlighting gaps in the equitable benefit of development programs, sex-disaggregated data alone cannot fully advance gender equality and women’s empowerment. As a result, more deliberate approaches have been designed to ensure that gender considerations are incorporated at the beginning of the planning process and throughout the program cycle in order to increase the likelihood of achieving policy goals and objectives associated with environmental policy responsive to the realities faced by women and girls. </w:t>
      </w:r>
    </w:p>
    <w:p w14:paraId="0000000F" w14:textId="77777777" w:rsidR="00350D28" w:rsidRDefault="00350D28">
      <w:pPr>
        <w:spacing w:line="276" w:lineRule="auto"/>
        <w:rPr>
          <w:rFonts w:ascii="Times New Roman" w:eastAsia="Times New Roman" w:hAnsi="Times New Roman" w:cs="Times New Roman"/>
        </w:rPr>
      </w:pPr>
    </w:p>
    <w:p w14:paraId="00000010" w14:textId="0E2799F0" w:rsidR="00350D28" w:rsidRDefault="00457AC2">
      <w:pPr>
        <w:spacing w:line="276" w:lineRule="auto"/>
        <w:rPr>
          <w:rFonts w:ascii="Times New Roman" w:eastAsia="Times New Roman" w:hAnsi="Times New Roman" w:cs="Times New Roman"/>
        </w:rPr>
      </w:pPr>
      <w:r>
        <w:rPr>
          <w:rFonts w:ascii="Times New Roman" w:eastAsia="Times New Roman" w:hAnsi="Times New Roman" w:cs="Times New Roman"/>
        </w:rPr>
        <w:t>One example of the U.S. government’s overall approach to advancing programming responsive to the needs and experiences of women and girls is USAID’s</w:t>
      </w:r>
      <w:r w:rsidR="00AB592F">
        <w:rPr>
          <w:rFonts w:ascii="Times New Roman" w:eastAsia="Times New Roman" w:hAnsi="Times New Roman" w:cs="Times New Roman"/>
        </w:rPr>
        <w:t xml:space="preserve"> </w:t>
      </w:r>
      <w:r w:rsidR="005E0372">
        <w:rPr>
          <w:rFonts w:ascii="Times New Roman" w:eastAsia="Times New Roman" w:hAnsi="Times New Roman" w:cs="Times New Roman"/>
        </w:rPr>
        <w:t>GEFE p</w:t>
      </w:r>
      <w:r>
        <w:rPr>
          <w:rFonts w:ascii="Times New Roman" w:eastAsia="Times New Roman" w:hAnsi="Times New Roman" w:cs="Times New Roman"/>
        </w:rPr>
        <w:t xml:space="preserve">olicy itself, which requires the integration of gender equality and women’s empowerment in all phases of programming, budgeting, and reporting. To facilitate implementation of this policy, USAID has developed guidance on pursuing more effective, evidence-based investments in gender equality and female empowerment and on incorporating these efforts into USAID’s core development programming, including climate change and environment programming. More specifically, it explains how to implement USAID’s </w:t>
      </w:r>
      <w:r w:rsidR="005E0372">
        <w:rPr>
          <w:rFonts w:ascii="Times New Roman" w:eastAsia="Times New Roman" w:hAnsi="Times New Roman" w:cs="Times New Roman"/>
        </w:rPr>
        <w:t>GEFE policy</w:t>
      </w:r>
      <w:r>
        <w:rPr>
          <w:rFonts w:ascii="Times New Roman" w:eastAsia="Times New Roman" w:hAnsi="Times New Roman" w:cs="Times New Roman"/>
        </w:rPr>
        <w:t xml:space="preserve"> and related strategies across the program cycle, with a particular focus on applying analytic rigor to strengthen evidence-based decision-making and support for local ownership and the priorities of local actors and stakeholders. This integration process, described in detail below, can be replicated to support efforts to integrate gender considerations in the process to formulate and implement national adaptation plans</w:t>
      </w:r>
      <w:r w:rsidR="00EB5596">
        <w:rPr>
          <w:rFonts w:ascii="Times New Roman" w:eastAsia="Times New Roman" w:hAnsi="Times New Roman" w:cs="Times New Roman"/>
        </w:rPr>
        <w:t xml:space="preserve"> (NAPs)</w:t>
      </w:r>
      <w:r>
        <w:rPr>
          <w:rFonts w:ascii="Times New Roman" w:eastAsia="Times New Roman" w:hAnsi="Times New Roman" w:cs="Times New Roman"/>
        </w:rPr>
        <w:t xml:space="preserve">. </w:t>
      </w:r>
    </w:p>
    <w:p w14:paraId="00000011" w14:textId="77777777" w:rsidR="00350D28" w:rsidRDefault="00350D28">
      <w:pPr>
        <w:spacing w:line="276" w:lineRule="auto"/>
        <w:rPr>
          <w:rFonts w:ascii="Times New Roman" w:eastAsia="Times New Roman" w:hAnsi="Times New Roman" w:cs="Times New Roman"/>
        </w:rPr>
      </w:pPr>
    </w:p>
    <w:p w14:paraId="00000012" w14:textId="77777777" w:rsidR="00350D28" w:rsidRDefault="00457AC2">
      <w:pPr>
        <w:spacing w:line="276" w:lineRule="auto"/>
        <w:rPr>
          <w:rFonts w:ascii="Times New Roman" w:eastAsia="Times New Roman" w:hAnsi="Times New Roman" w:cs="Times New Roman"/>
        </w:rPr>
      </w:pPr>
      <w:r>
        <w:rPr>
          <w:rFonts w:ascii="Times New Roman" w:eastAsia="Times New Roman" w:hAnsi="Times New Roman" w:cs="Times New Roman"/>
        </w:rPr>
        <w:t xml:space="preserve">The first step in the integration process is the gender analysis. Such analysis typically involves examining: </w:t>
      </w:r>
    </w:p>
    <w:p w14:paraId="00000013" w14:textId="77777777" w:rsidR="00350D28" w:rsidRDefault="00350D28">
      <w:pPr>
        <w:spacing w:line="276" w:lineRule="auto"/>
        <w:rPr>
          <w:rFonts w:ascii="Times New Roman" w:eastAsia="Times New Roman" w:hAnsi="Times New Roman" w:cs="Times New Roman"/>
        </w:rPr>
      </w:pPr>
    </w:p>
    <w:p w14:paraId="00000014" w14:textId="77777777" w:rsidR="00350D28" w:rsidRDefault="00457AC2">
      <w:pPr>
        <w:numPr>
          <w:ilvl w:val="0"/>
          <w:numId w:val="4"/>
        </w:numPr>
        <w:pBdr>
          <w:top w:val="nil"/>
          <w:left w:val="nil"/>
          <w:bottom w:val="nil"/>
          <w:right w:val="nil"/>
          <w:between w:val="nil"/>
        </w:pBdr>
        <w:spacing w:line="276" w:lineRule="auto"/>
        <w:rPr>
          <w:color w:val="000000"/>
        </w:rPr>
      </w:pPr>
      <w:r>
        <w:rPr>
          <w:rFonts w:ascii="Times New Roman" w:eastAsia="Times New Roman" w:hAnsi="Times New Roman" w:cs="Times New Roman"/>
          <w:color w:val="000000"/>
        </w:rPr>
        <w:t xml:space="preserve">Differences in the status of women and men and their differential access to assets, resources, opportunities, and services; </w:t>
      </w:r>
    </w:p>
    <w:p w14:paraId="00000015" w14:textId="77777777" w:rsidR="00350D28" w:rsidRDefault="00457AC2">
      <w:pPr>
        <w:numPr>
          <w:ilvl w:val="0"/>
          <w:numId w:val="4"/>
        </w:numPr>
        <w:pBdr>
          <w:top w:val="nil"/>
          <w:left w:val="nil"/>
          <w:bottom w:val="nil"/>
          <w:right w:val="nil"/>
          <w:between w:val="nil"/>
        </w:pBdr>
        <w:spacing w:line="276" w:lineRule="auto"/>
        <w:rPr>
          <w:color w:val="000000"/>
        </w:rPr>
      </w:pPr>
      <w:r>
        <w:rPr>
          <w:rFonts w:ascii="Times New Roman" w:eastAsia="Times New Roman" w:hAnsi="Times New Roman" w:cs="Times New Roman"/>
          <w:color w:val="000000"/>
        </w:rPr>
        <w:t xml:space="preserve">The influence of gender roles and norms on the division of time between paid employment, unpaid work (including subsistence production and care for family members), and volunteer activities; </w:t>
      </w:r>
    </w:p>
    <w:p w14:paraId="00000016" w14:textId="77777777" w:rsidR="00350D28" w:rsidRDefault="00457AC2">
      <w:pPr>
        <w:numPr>
          <w:ilvl w:val="0"/>
          <w:numId w:val="4"/>
        </w:numPr>
        <w:pBdr>
          <w:top w:val="nil"/>
          <w:left w:val="nil"/>
          <w:bottom w:val="nil"/>
          <w:right w:val="nil"/>
          <w:between w:val="nil"/>
        </w:pBdr>
        <w:spacing w:line="276" w:lineRule="auto"/>
        <w:rPr>
          <w:color w:val="000000"/>
        </w:rPr>
      </w:pPr>
      <w:r>
        <w:rPr>
          <w:rFonts w:ascii="Times New Roman" w:eastAsia="Times New Roman" w:hAnsi="Times New Roman" w:cs="Times New Roman"/>
          <w:color w:val="000000"/>
        </w:rPr>
        <w:t>The influence of gender roles and norms on leadership roles and decision-making; constraints, opportunities, and entry points for narrowing gender gaps and empowering females; and,</w:t>
      </w:r>
    </w:p>
    <w:p w14:paraId="00000017" w14:textId="77777777" w:rsidR="00350D28" w:rsidRDefault="00457AC2">
      <w:pPr>
        <w:numPr>
          <w:ilvl w:val="0"/>
          <w:numId w:val="4"/>
        </w:numPr>
        <w:pBdr>
          <w:top w:val="nil"/>
          <w:left w:val="nil"/>
          <w:bottom w:val="nil"/>
          <w:right w:val="nil"/>
          <w:between w:val="nil"/>
        </w:pBdr>
        <w:spacing w:line="276" w:lineRule="auto"/>
        <w:rPr>
          <w:color w:val="000000"/>
        </w:rPr>
      </w:pPr>
      <w:r>
        <w:rPr>
          <w:rFonts w:ascii="Times New Roman" w:eastAsia="Times New Roman" w:hAnsi="Times New Roman" w:cs="Times New Roman"/>
          <w:color w:val="000000"/>
        </w:rPr>
        <w:t>Potential differential impacts of development policies and programs on males and females, including unintended or negative consequences.</w:t>
      </w:r>
    </w:p>
    <w:p w14:paraId="00000018" w14:textId="77777777" w:rsidR="00350D28" w:rsidRDefault="00350D28">
      <w:pPr>
        <w:spacing w:line="276" w:lineRule="auto"/>
        <w:rPr>
          <w:rFonts w:ascii="Times New Roman" w:eastAsia="Times New Roman" w:hAnsi="Times New Roman" w:cs="Times New Roman"/>
        </w:rPr>
      </w:pPr>
    </w:p>
    <w:p w14:paraId="00000019" w14:textId="788A71B4" w:rsidR="00350D28" w:rsidRDefault="00457AC2">
      <w:pPr>
        <w:spacing w:line="276" w:lineRule="auto"/>
        <w:rPr>
          <w:rFonts w:ascii="Times New Roman" w:eastAsia="Times New Roman" w:hAnsi="Times New Roman" w:cs="Times New Roman"/>
        </w:rPr>
      </w:pPr>
      <w:r>
        <w:rPr>
          <w:rFonts w:ascii="Times New Roman" w:eastAsia="Times New Roman" w:hAnsi="Times New Roman" w:cs="Times New Roman"/>
        </w:rPr>
        <w:t>When applied to the process to formulate and implement national adaptation plans, the gender analysis can highlight existing and expected barriers and opportunities for designing and implementing gender-responsive adaptation actions. For example, producing sex-disaggregated data can highlight the different conditions facing women and men and help implementers develop the NAP so that it responds to the unique needs of women and girls. Additionally,</w:t>
      </w:r>
      <w:r w:rsidR="00EB5596">
        <w:rPr>
          <w:rFonts w:ascii="Times New Roman" w:eastAsia="Times New Roman" w:hAnsi="Times New Roman" w:cs="Times New Roman"/>
        </w:rPr>
        <w:t xml:space="preserve"> utilizing and understanding </w:t>
      </w:r>
      <w:r>
        <w:rPr>
          <w:rFonts w:ascii="Times New Roman" w:eastAsia="Times New Roman" w:hAnsi="Times New Roman" w:cs="Times New Roman"/>
        </w:rPr>
        <w:t>the ways that women participate in adaptation activities throughout NAP development can unlock opportunities for women’s leadership and empowerment in government and employment</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p>
    <w:p w14:paraId="0000001A" w14:textId="77777777" w:rsidR="00350D28" w:rsidRDefault="00350D28">
      <w:pPr>
        <w:spacing w:line="276" w:lineRule="auto"/>
        <w:rPr>
          <w:rFonts w:ascii="Times New Roman" w:eastAsia="Times New Roman" w:hAnsi="Times New Roman" w:cs="Times New Roman"/>
        </w:rPr>
      </w:pPr>
    </w:p>
    <w:p w14:paraId="0000001B" w14:textId="363FC2DC" w:rsidR="00350D28" w:rsidRDefault="00457AC2">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One of the key challenges to date in conducting a gender analysis has been identifying the relevant qualitative and quantitative data and information in order to ensure that the </w:t>
      </w:r>
      <w:r w:rsidR="00B71A8C">
        <w:rPr>
          <w:rFonts w:ascii="Times New Roman" w:eastAsia="Times New Roman" w:hAnsi="Times New Roman" w:cs="Times New Roman"/>
        </w:rPr>
        <w:t>results</w:t>
      </w:r>
      <w:r>
        <w:rPr>
          <w:rFonts w:ascii="Times New Roman" w:eastAsia="Times New Roman" w:hAnsi="Times New Roman" w:cs="Times New Roman"/>
        </w:rPr>
        <w:t xml:space="preserve"> of the gender analysis are specific enough to inform the project and activity. It is important to consult with a wide variety of key stakeholders, including academic institutions, civil society organizations, and think tanks. Other sources might include:</w:t>
      </w:r>
    </w:p>
    <w:p w14:paraId="0000001C" w14:textId="77777777" w:rsidR="00350D28" w:rsidRDefault="00350D28">
      <w:pPr>
        <w:spacing w:line="276" w:lineRule="auto"/>
        <w:rPr>
          <w:rFonts w:ascii="Times New Roman" w:eastAsia="Times New Roman" w:hAnsi="Times New Roman" w:cs="Times New Roman"/>
        </w:rPr>
      </w:pPr>
    </w:p>
    <w:p w14:paraId="0000001D" w14:textId="77777777" w:rsidR="00350D28" w:rsidRDefault="00457AC2">
      <w:pPr>
        <w:numPr>
          <w:ilvl w:val="0"/>
          <w:numId w:val="1"/>
        </w:numPr>
        <w:pBdr>
          <w:top w:val="nil"/>
          <w:left w:val="nil"/>
          <w:bottom w:val="nil"/>
          <w:right w:val="nil"/>
          <w:between w:val="nil"/>
        </w:pBdr>
        <w:spacing w:line="276" w:lineRule="auto"/>
        <w:rPr>
          <w:color w:val="000000"/>
        </w:rPr>
      </w:pPr>
      <w:r>
        <w:rPr>
          <w:rFonts w:ascii="Times New Roman" w:eastAsia="Times New Roman" w:hAnsi="Times New Roman" w:cs="Times New Roman"/>
          <w:color w:val="000000"/>
        </w:rPr>
        <w:t>Regional or sectoral gender analyses;</w:t>
      </w:r>
    </w:p>
    <w:p w14:paraId="0000001E" w14:textId="77777777" w:rsidR="00350D28" w:rsidRDefault="00457AC2">
      <w:pPr>
        <w:numPr>
          <w:ilvl w:val="0"/>
          <w:numId w:val="1"/>
        </w:numPr>
        <w:pBdr>
          <w:top w:val="nil"/>
          <w:left w:val="nil"/>
          <w:bottom w:val="nil"/>
          <w:right w:val="nil"/>
          <w:between w:val="nil"/>
        </w:pBdr>
        <w:spacing w:line="276" w:lineRule="auto"/>
        <w:rPr>
          <w:color w:val="000000"/>
        </w:rPr>
      </w:pPr>
      <w:r>
        <w:rPr>
          <w:rFonts w:ascii="Times New Roman" w:eastAsia="Times New Roman" w:hAnsi="Times New Roman" w:cs="Times New Roman"/>
          <w:color w:val="000000"/>
        </w:rPr>
        <w:t xml:space="preserve">Official national- and regional-level data and statistics; </w:t>
      </w:r>
    </w:p>
    <w:p w14:paraId="00000020" w14:textId="3EF9AD02" w:rsidR="00350D28" w:rsidRDefault="00457AC2" w:rsidP="00AB592F">
      <w:pPr>
        <w:numPr>
          <w:ilvl w:val="0"/>
          <w:numId w:val="1"/>
        </w:numPr>
        <w:pBdr>
          <w:top w:val="nil"/>
          <w:left w:val="nil"/>
          <w:bottom w:val="nil"/>
          <w:right w:val="nil"/>
          <w:between w:val="nil"/>
        </w:pBdr>
        <w:spacing w:line="276" w:lineRule="auto"/>
        <w:rPr>
          <w:color w:val="000000"/>
        </w:rPr>
      </w:pPr>
      <w:r>
        <w:rPr>
          <w:rFonts w:ascii="Times New Roman" w:eastAsia="Times New Roman" w:hAnsi="Times New Roman" w:cs="Times New Roman"/>
          <w:color w:val="000000"/>
        </w:rPr>
        <w:t>Relevant public data from bilateral and multilateral projects and activities;</w:t>
      </w:r>
    </w:p>
    <w:p w14:paraId="00000021" w14:textId="47F8E7F2" w:rsidR="00350D28" w:rsidRDefault="00457AC2">
      <w:pPr>
        <w:numPr>
          <w:ilvl w:val="0"/>
          <w:numId w:val="1"/>
        </w:numPr>
        <w:pBdr>
          <w:top w:val="nil"/>
          <w:left w:val="nil"/>
          <w:bottom w:val="nil"/>
          <w:right w:val="nil"/>
          <w:between w:val="nil"/>
        </w:pBdr>
        <w:spacing w:line="276" w:lineRule="auto"/>
        <w:rPr>
          <w:color w:val="000000"/>
        </w:rPr>
      </w:pPr>
      <w:r>
        <w:rPr>
          <w:rFonts w:ascii="Times New Roman" w:eastAsia="Times New Roman" w:hAnsi="Times New Roman" w:cs="Times New Roman"/>
          <w:color w:val="000000"/>
        </w:rPr>
        <w:t xml:space="preserve">Research reports from UN and regional intergovernmental organizations, </w:t>
      </w:r>
      <w:r w:rsidR="00B71A8C">
        <w:rPr>
          <w:rFonts w:ascii="Times New Roman" w:eastAsia="Times New Roman" w:hAnsi="Times New Roman" w:cs="Times New Roman"/>
          <w:color w:val="000000"/>
        </w:rPr>
        <w:t>non-governmental organizations</w:t>
      </w:r>
      <w:r>
        <w:rPr>
          <w:rFonts w:ascii="Times New Roman" w:eastAsia="Times New Roman" w:hAnsi="Times New Roman" w:cs="Times New Roman"/>
          <w:color w:val="000000"/>
        </w:rPr>
        <w:t xml:space="preserve">, and implementers. </w:t>
      </w:r>
    </w:p>
    <w:p w14:paraId="00000022" w14:textId="77777777" w:rsidR="00350D28" w:rsidRDefault="00350D28">
      <w:pPr>
        <w:spacing w:line="276" w:lineRule="auto"/>
        <w:rPr>
          <w:rFonts w:ascii="Times New Roman" w:eastAsia="Times New Roman" w:hAnsi="Times New Roman" w:cs="Times New Roman"/>
        </w:rPr>
      </w:pPr>
    </w:p>
    <w:p w14:paraId="00000023" w14:textId="3CC4A48A" w:rsidR="00350D28" w:rsidRDefault="00457AC2">
      <w:pPr>
        <w:spacing w:line="276" w:lineRule="auto"/>
        <w:rPr>
          <w:rFonts w:ascii="Times New Roman" w:eastAsia="Times New Roman" w:hAnsi="Times New Roman" w:cs="Times New Roman"/>
        </w:rPr>
      </w:pPr>
      <w:r>
        <w:rPr>
          <w:rFonts w:ascii="Times New Roman" w:eastAsia="Times New Roman" w:hAnsi="Times New Roman" w:cs="Times New Roman"/>
        </w:rPr>
        <w:t xml:space="preserve">It is important that the gender analysis </w:t>
      </w:r>
      <w:r w:rsidR="00EA0589">
        <w:rPr>
          <w:rFonts w:ascii="Times New Roman" w:eastAsia="Times New Roman" w:hAnsi="Times New Roman" w:cs="Times New Roman"/>
        </w:rPr>
        <w:t>is</w:t>
      </w:r>
      <w:r>
        <w:rPr>
          <w:rFonts w:ascii="Times New Roman" w:eastAsia="Times New Roman" w:hAnsi="Times New Roman" w:cs="Times New Roman"/>
        </w:rPr>
        <w:t xml:space="preserve"> informed by the specific country context and national circumstances. If a gender analysis is determined to be too broad, one option is to conduct a supplementary gender analysis that focuses on the specific adaptation intervention (i.e. the project level, rather than at the higher level planning process). </w:t>
      </w:r>
    </w:p>
    <w:p w14:paraId="00000024" w14:textId="77777777" w:rsidR="00350D28" w:rsidRDefault="00350D28">
      <w:pPr>
        <w:spacing w:line="276" w:lineRule="auto"/>
        <w:rPr>
          <w:rFonts w:ascii="Times New Roman" w:eastAsia="Times New Roman" w:hAnsi="Times New Roman" w:cs="Times New Roman"/>
        </w:rPr>
      </w:pPr>
    </w:p>
    <w:p w14:paraId="00000025" w14:textId="7243A7F7" w:rsidR="00350D28" w:rsidRDefault="00EA0589">
      <w:pPr>
        <w:spacing w:line="276" w:lineRule="auto"/>
        <w:rPr>
          <w:rFonts w:ascii="Times New Roman" w:eastAsia="Times New Roman" w:hAnsi="Times New Roman" w:cs="Times New Roman"/>
        </w:rPr>
      </w:pPr>
      <w:r>
        <w:rPr>
          <w:rFonts w:ascii="Times New Roman" w:eastAsia="Times New Roman" w:hAnsi="Times New Roman" w:cs="Times New Roman"/>
        </w:rPr>
        <w:t>Once</w:t>
      </w:r>
      <w:r w:rsidR="00457AC2">
        <w:rPr>
          <w:rFonts w:ascii="Times New Roman" w:eastAsia="Times New Roman" w:hAnsi="Times New Roman" w:cs="Times New Roman"/>
        </w:rPr>
        <w:t xml:space="preserve"> a gender analysis has been conducted, the results are reviewed and used when identifying the objectives for the specific project and activities. At the project level, the gender analysis should go one step further to identify the</w:t>
      </w:r>
      <w:r w:rsidR="00B26606">
        <w:rPr>
          <w:rFonts w:ascii="Times New Roman" w:eastAsia="Times New Roman" w:hAnsi="Times New Roman" w:cs="Times New Roman"/>
        </w:rPr>
        <w:t xml:space="preserve"> following</w:t>
      </w:r>
      <w:r w:rsidR="00457AC2">
        <w:rPr>
          <w:rFonts w:ascii="Times New Roman" w:eastAsia="Times New Roman" w:hAnsi="Times New Roman" w:cs="Times New Roman"/>
        </w:rPr>
        <w:t>:</w:t>
      </w:r>
    </w:p>
    <w:p w14:paraId="00000026" w14:textId="77777777" w:rsidR="00350D28" w:rsidRDefault="00350D28">
      <w:pPr>
        <w:spacing w:line="276" w:lineRule="auto"/>
        <w:rPr>
          <w:rFonts w:ascii="Times New Roman" w:eastAsia="Times New Roman" w:hAnsi="Times New Roman" w:cs="Times New Roman"/>
        </w:rPr>
      </w:pPr>
    </w:p>
    <w:p w14:paraId="00000027" w14:textId="77777777" w:rsidR="00350D28" w:rsidRDefault="00457AC2">
      <w:pPr>
        <w:numPr>
          <w:ilvl w:val="0"/>
          <w:numId w:val="2"/>
        </w:numPr>
        <w:pBdr>
          <w:top w:val="nil"/>
          <w:left w:val="nil"/>
          <w:bottom w:val="nil"/>
          <w:right w:val="nil"/>
          <w:between w:val="nil"/>
        </w:pBdr>
        <w:spacing w:line="276" w:lineRule="auto"/>
        <w:rPr>
          <w:color w:val="000000"/>
        </w:rPr>
      </w:pPr>
      <w:r>
        <w:rPr>
          <w:rFonts w:ascii="Times New Roman" w:eastAsia="Times New Roman" w:hAnsi="Times New Roman" w:cs="Times New Roman"/>
          <w:color w:val="000000"/>
        </w:rPr>
        <w:t>Relevant gender gaps in the status and anticipated levels of participation of women and men that could hinder the key results to be achieved by the project;</w:t>
      </w:r>
    </w:p>
    <w:p w14:paraId="00000028" w14:textId="77777777" w:rsidR="00350D28" w:rsidRDefault="00457AC2">
      <w:pPr>
        <w:numPr>
          <w:ilvl w:val="0"/>
          <w:numId w:val="2"/>
        </w:numPr>
        <w:pBdr>
          <w:top w:val="nil"/>
          <w:left w:val="nil"/>
          <w:bottom w:val="nil"/>
          <w:right w:val="nil"/>
          <w:between w:val="nil"/>
        </w:pBdr>
        <w:spacing w:line="276" w:lineRule="auto"/>
        <w:rPr>
          <w:color w:val="000000"/>
        </w:rPr>
      </w:pPr>
      <w:r>
        <w:rPr>
          <w:rFonts w:ascii="Times New Roman" w:eastAsia="Times New Roman" w:hAnsi="Times New Roman" w:cs="Times New Roman"/>
          <w:color w:val="000000"/>
        </w:rPr>
        <w:t>Key gender inequalities or needs for female empowerment that could be addressed through the project; and,</w:t>
      </w:r>
    </w:p>
    <w:p w14:paraId="00000029" w14:textId="77777777" w:rsidR="00350D28" w:rsidRDefault="00457AC2">
      <w:pPr>
        <w:numPr>
          <w:ilvl w:val="0"/>
          <w:numId w:val="2"/>
        </w:numPr>
        <w:pBdr>
          <w:top w:val="nil"/>
          <w:left w:val="nil"/>
          <w:bottom w:val="nil"/>
          <w:right w:val="nil"/>
          <w:between w:val="nil"/>
        </w:pBdr>
        <w:spacing w:line="276" w:lineRule="auto"/>
        <w:rPr>
          <w:color w:val="000000"/>
        </w:rPr>
      </w:pPr>
      <w:r>
        <w:rPr>
          <w:rFonts w:ascii="Times New Roman" w:eastAsia="Times New Roman" w:hAnsi="Times New Roman" w:cs="Times New Roman"/>
          <w:color w:val="000000"/>
        </w:rPr>
        <w:lastRenderedPageBreak/>
        <w:t>Any potential differential effects (including unintended or negative consequences) on women and men.</w:t>
      </w:r>
    </w:p>
    <w:p w14:paraId="0000002A" w14:textId="77777777" w:rsidR="00350D28" w:rsidRDefault="00350D28">
      <w:pPr>
        <w:spacing w:line="276" w:lineRule="auto"/>
        <w:rPr>
          <w:rFonts w:ascii="Times New Roman" w:eastAsia="Times New Roman" w:hAnsi="Times New Roman" w:cs="Times New Roman"/>
        </w:rPr>
      </w:pPr>
    </w:p>
    <w:p w14:paraId="0000002B" w14:textId="35A8E01A" w:rsidR="00350D28" w:rsidRDefault="00457AC2">
      <w:pPr>
        <w:spacing w:line="276" w:lineRule="auto"/>
        <w:rPr>
          <w:rFonts w:ascii="Times New Roman" w:eastAsia="Times New Roman" w:hAnsi="Times New Roman" w:cs="Times New Roman"/>
        </w:rPr>
      </w:pPr>
      <w:r>
        <w:rPr>
          <w:rFonts w:ascii="Times New Roman" w:eastAsia="Times New Roman" w:hAnsi="Times New Roman" w:cs="Times New Roman"/>
        </w:rPr>
        <w:t>At the project level, a gender analysis should influence the project design to ensure that it explicitly addresses any disparities and includes actions to reduce the gaps and inequalities that are revealed. Results from a gender analysis may also lead to building in standalone programming components that specifically focus on empowering women and girls, if the analysis suggests that this is important for achieving the project objective and related results. The analysis should also examine anticipated levels of and possible barriers to participation of men and women in the activity a</w:t>
      </w:r>
      <w:r w:rsidR="009767DF">
        <w:rPr>
          <w:rFonts w:ascii="Times New Roman" w:eastAsia="Times New Roman" w:hAnsi="Times New Roman" w:cs="Times New Roman"/>
        </w:rPr>
        <w:t>s well as</w:t>
      </w:r>
      <w:r>
        <w:rPr>
          <w:rFonts w:ascii="Times New Roman" w:eastAsia="Times New Roman" w:hAnsi="Times New Roman" w:cs="Times New Roman"/>
        </w:rPr>
        <w:t xml:space="preserve"> whether</w:t>
      </w:r>
      <w:r w:rsidR="009767DF">
        <w:rPr>
          <w:rFonts w:ascii="Times New Roman" w:eastAsia="Times New Roman" w:hAnsi="Times New Roman" w:cs="Times New Roman"/>
        </w:rPr>
        <w:t xml:space="preserve"> and </w:t>
      </w:r>
      <w:r>
        <w:rPr>
          <w:rFonts w:ascii="Times New Roman" w:eastAsia="Times New Roman" w:hAnsi="Times New Roman" w:cs="Times New Roman"/>
        </w:rPr>
        <w:t>how the activity might affect men and women differently. The findings and recommendations of the analysis should inform and be integrated into the activity design and associated indicators.</w:t>
      </w:r>
    </w:p>
    <w:p w14:paraId="0000002C" w14:textId="77777777" w:rsidR="00350D28" w:rsidRDefault="00350D28">
      <w:pPr>
        <w:spacing w:line="276" w:lineRule="auto"/>
        <w:rPr>
          <w:rFonts w:ascii="Times New Roman" w:eastAsia="Times New Roman" w:hAnsi="Times New Roman" w:cs="Times New Roman"/>
        </w:rPr>
      </w:pPr>
    </w:p>
    <w:p w14:paraId="0000002D" w14:textId="458D2307" w:rsidR="00350D28" w:rsidRDefault="00457AC2">
      <w:pPr>
        <w:spacing w:line="276" w:lineRule="auto"/>
        <w:rPr>
          <w:rFonts w:ascii="Times New Roman" w:eastAsia="Times New Roman" w:hAnsi="Times New Roman" w:cs="Times New Roman"/>
        </w:rPr>
      </w:pPr>
      <w:r>
        <w:rPr>
          <w:rFonts w:ascii="Times New Roman" w:eastAsia="Times New Roman" w:hAnsi="Times New Roman" w:cs="Times New Roman"/>
        </w:rPr>
        <w:t>Gender integration does not end with activity design and solicitation</w:t>
      </w:r>
      <w:r w:rsidR="00EA0589">
        <w:rPr>
          <w:rFonts w:ascii="Times New Roman" w:eastAsia="Times New Roman" w:hAnsi="Times New Roman" w:cs="Times New Roman"/>
        </w:rPr>
        <w:t>, and</w:t>
      </w:r>
      <w:r>
        <w:rPr>
          <w:rFonts w:ascii="Times New Roman" w:eastAsia="Times New Roman" w:hAnsi="Times New Roman" w:cs="Times New Roman"/>
        </w:rPr>
        <w:t xml:space="preserve"> should continue throughout project implementation. One best practice for increasing the effectiveness of gender integration throughout the period of implementation is to ensure gender considerations are integrated in the work planning process as well. The work planning process is often the final step before on-the-ground implementation of a project activity begins. In addition, it is good practice to gather gender-sensitive data during activity implementation to track progress towards gender-related results and ensure that any observed, unintended gender-related consequences of the activity are being documented and addressed. </w:t>
      </w:r>
    </w:p>
    <w:p w14:paraId="0000002E" w14:textId="77777777" w:rsidR="00350D28" w:rsidRDefault="00350D28">
      <w:pPr>
        <w:spacing w:line="276" w:lineRule="auto"/>
        <w:rPr>
          <w:rFonts w:ascii="Times New Roman" w:eastAsia="Times New Roman" w:hAnsi="Times New Roman" w:cs="Times New Roman"/>
        </w:rPr>
      </w:pPr>
    </w:p>
    <w:p w14:paraId="0000002F" w14:textId="775B1EA0" w:rsidR="00350D28" w:rsidRDefault="00457AC2">
      <w:pPr>
        <w:spacing w:line="276" w:lineRule="auto"/>
        <w:rPr>
          <w:rFonts w:ascii="Times New Roman" w:eastAsia="Times New Roman" w:hAnsi="Times New Roman" w:cs="Times New Roman"/>
        </w:rPr>
      </w:pPr>
      <w:r>
        <w:rPr>
          <w:rFonts w:ascii="Times New Roman" w:eastAsia="Times New Roman" w:hAnsi="Times New Roman" w:cs="Times New Roman"/>
        </w:rPr>
        <w:t>The fina</w:t>
      </w:r>
      <w:r w:rsidR="000E19B5">
        <w:rPr>
          <w:rFonts w:ascii="Times New Roman" w:eastAsia="Times New Roman" w:hAnsi="Times New Roman" w:cs="Times New Roman"/>
        </w:rPr>
        <w:t xml:space="preserve">l step in the program cycle is monitoring, evaluation, and </w:t>
      </w:r>
      <w:r w:rsidR="000E19B5" w:rsidRPr="00F5342C">
        <w:rPr>
          <w:rFonts w:ascii="Times New Roman" w:eastAsia="Times New Roman" w:hAnsi="Times New Roman" w:cs="Times New Roman"/>
        </w:rPr>
        <w:t>l</w:t>
      </w:r>
      <w:r w:rsidRPr="00F5342C">
        <w:rPr>
          <w:rFonts w:ascii="Times New Roman" w:eastAsia="Times New Roman" w:hAnsi="Times New Roman" w:cs="Times New Roman"/>
        </w:rPr>
        <w:t>earning</w:t>
      </w:r>
      <w:r>
        <w:rPr>
          <w:rFonts w:ascii="Times New Roman" w:eastAsia="Times New Roman" w:hAnsi="Times New Roman" w:cs="Times New Roman"/>
        </w:rPr>
        <w:t xml:space="preserve">. During this stage, the focus should be on collecting sex-disaggregated data for all people-level indicators, developing context indicators to </w:t>
      </w:r>
      <w:r>
        <w:rPr>
          <w:rFonts w:ascii="Times New Roman" w:eastAsia="Times New Roman" w:hAnsi="Times New Roman" w:cs="Times New Roman"/>
        </w:rPr>
        <w:lastRenderedPageBreak/>
        <w:t xml:space="preserve">track changes in key gender gaps which have occurred from the beginning of project design to the end of the activity, and utilizing appropriate qualitative and quantitative methodologies to gather and analyze relevant gender-sensitive data. This stage also presents a critical opportunity for course correction if the monitoring and evaluation process reveals that project design did not sufficiently address gender gaps and female empowerment. </w:t>
      </w:r>
    </w:p>
    <w:p w14:paraId="00000030" w14:textId="77777777" w:rsidR="00350D28" w:rsidRDefault="00350D28">
      <w:pPr>
        <w:spacing w:line="276" w:lineRule="auto"/>
        <w:rPr>
          <w:rFonts w:ascii="Times New Roman" w:eastAsia="Times New Roman" w:hAnsi="Times New Roman" w:cs="Times New Roman"/>
        </w:rPr>
      </w:pPr>
    </w:p>
    <w:p w14:paraId="00000031" w14:textId="77777777" w:rsidR="00350D28" w:rsidRDefault="00457AC2">
      <w:pPr>
        <w:spacing w:line="276" w:lineRule="auto"/>
        <w:rPr>
          <w:rFonts w:ascii="Times New Roman" w:eastAsia="Times New Roman" w:hAnsi="Times New Roman" w:cs="Times New Roman"/>
        </w:rPr>
      </w:pPr>
      <w:r>
        <w:rPr>
          <w:rFonts w:ascii="Times New Roman" w:eastAsia="Times New Roman" w:hAnsi="Times New Roman" w:cs="Times New Roman"/>
        </w:rPr>
        <w:t>A gender-sensitive evaluation means that all stages of the evaluation reflect:</w:t>
      </w:r>
    </w:p>
    <w:p w14:paraId="00000032" w14:textId="77777777" w:rsidR="00350D28" w:rsidRDefault="00457AC2">
      <w:pPr>
        <w:numPr>
          <w:ilvl w:val="0"/>
          <w:numId w:val="3"/>
        </w:numPr>
        <w:pBdr>
          <w:top w:val="nil"/>
          <w:left w:val="nil"/>
          <w:bottom w:val="nil"/>
          <w:right w:val="nil"/>
          <w:between w:val="nil"/>
        </w:pBdr>
        <w:spacing w:line="276" w:lineRule="auto"/>
        <w:rPr>
          <w:color w:val="000000"/>
        </w:rPr>
      </w:pPr>
      <w:r>
        <w:rPr>
          <w:rFonts w:ascii="Times New Roman" w:eastAsia="Times New Roman" w:hAnsi="Times New Roman" w:cs="Times New Roman"/>
          <w:color w:val="000000"/>
        </w:rPr>
        <w:t>An awareness that the degree and meaning of program participation, program results, and potential sustainability are shaped by gender;</w:t>
      </w:r>
    </w:p>
    <w:p w14:paraId="00000033" w14:textId="77777777" w:rsidR="00350D28" w:rsidRDefault="00457AC2">
      <w:pPr>
        <w:numPr>
          <w:ilvl w:val="0"/>
          <w:numId w:val="3"/>
        </w:numPr>
        <w:pBdr>
          <w:top w:val="nil"/>
          <w:left w:val="nil"/>
          <w:bottom w:val="nil"/>
          <w:right w:val="nil"/>
          <w:between w:val="nil"/>
        </w:pBdr>
        <w:spacing w:line="276" w:lineRule="auto"/>
        <w:rPr>
          <w:color w:val="000000"/>
        </w:rPr>
      </w:pPr>
      <w:r>
        <w:rPr>
          <w:rFonts w:ascii="Times New Roman" w:eastAsia="Times New Roman" w:hAnsi="Times New Roman" w:cs="Times New Roman"/>
          <w:color w:val="000000"/>
        </w:rPr>
        <w:t xml:space="preserve">A recognition that explicit attention to gender issues must be integrated into the evaluation if gender equality objectives are to be addressed; and, </w:t>
      </w:r>
    </w:p>
    <w:p w14:paraId="00000034" w14:textId="4E9FF6DB" w:rsidR="00350D28" w:rsidRDefault="00457AC2">
      <w:pPr>
        <w:numPr>
          <w:ilvl w:val="0"/>
          <w:numId w:val="3"/>
        </w:numPr>
        <w:pBdr>
          <w:top w:val="nil"/>
          <w:left w:val="nil"/>
          <w:bottom w:val="nil"/>
          <w:right w:val="nil"/>
          <w:between w:val="nil"/>
        </w:pBdr>
        <w:spacing w:line="276" w:lineRule="auto"/>
        <w:rPr>
          <w:color w:val="000000"/>
        </w:rPr>
      </w:pPr>
      <w:r>
        <w:rPr>
          <w:rFonts w:ascii="Times New Roman" w:eastAsia="Times New Roman" w:hAnsi="Times New Roman" w:cs="Times New Roman"/>
          <w:color w:val="000000"/>
        </w:rPr>
        <w:t>A commitment to examining the extent to which gender equality was achieved as a result of the program or project that was implemented. Without evaluation, a project implementer will be unable to examine the extent to which its programming achieves positive results and improves quality of life for women as well as men, reduces gender gaps and empowers women and girls.</w:t>
      </w:r>
    </w:p>
    <w:p w14:paraId="00000035" w14:textId="28579519" w:rsidR="00350D28" w:rsidRDefault="00350D28">
      <w:pPr>
        <w:spacing w:line="276" w:lineRule="auto"/>
        <w:rPr>
          <w:rFonts w:ascii="Times New Roman" w:eastAsia="Times New Roman" w:hAnsi="Times New Roman" w:cs="Times New Roman"/>
        </w:rPr>
      </w:pPr>
    </w:p>
    <w:p w14:paraId="3F825513" w14:textId="77777777" w:rsidR="005B633E" w:rsidRPr="005B633E" w:rsidRDefault="005B633E">
      <w:pPr>
        <w:spacing w:line="276" w:lineRule="auto"/>
        <w:rPr>
          <w:rFonts w:ascii="Times New Roman" w:eastAsia="Times New Roman" w:hAnsi="Times New Roman" w:cs="Times New Roman"/>
          <w:b/>
        </w:rPr>
      </w:pPr>
      <w:r w:rsidRPr="005B633E">
        <w:rPr>
          <w:rFonts w:ascii="Times New Roman" w:eastAsia="Times New Roman" w:hAnsi="Times New Roman" w:cs="Times New Roman"/>
          <w:b/>
        </w:rPr>
        <w:t>Case Study: Techniques in practice</w:t>
      </w:r>
    </w:p>
    <w:p w14:paraId="2A40A015" w14:textId="77777777" w:rsidR="005B633E" w:rsidRDefault="005B633E">
      <w:pPr>
        <w:spacing w:line="276" w:lineRule="auto"/>
        <w:rPr>
          <w:rFonts w:ascii="Times New Roman" w:eastAsia="Times New Roman" w:hAnsi="Times New Roman" w:cs="Times New Roman"/>
        </w:rPr>
      </w:pPr>
    </w:p>
    <w:p w14:paraId="00000036" w14:textId="1A799051" w:rsidR="00350D28" w:rsidRDefault="00457AC2" w:rsidP="00457AC2">
      <w:pPr>
        <w:spacing w:line="276" w:lineRule="auto"/>
        <w:rPr>
          <w:rFonts w:ascii="Times New Roman" w:eastAsia="Times New Roman" w:hAnsi="Times New Roman" w:cs="Times New Roman"/>
          <w:color w:val="000000"/>
        </w:rPr>
      </w:pPr>
      <w:r>
        <w:rPr>
          <w:rFonts w:ascii="Times New Roman" w:eastAsia="Times New Roman" w:hAnsi="Times New Roman" w:cs="Times New Roman"/>
        </w:rPr>
        <w:t xml:space="preserve">This case study </w:t>
      </w:r>
      <w:r w:rsidR="005B633E">
        <w:rPr>
          <w:rFonts w:ascii="Times New Roman" w:eastAsia="Times New Roman" w:hAnsi="Times New Roman" w:cs="Times New Roman"/>
        </w:rPr>
        <w:t>illustrates the techniques employed by the Uni</w:t>
      </w:r>
      <w:r>
        <w:rPr>
          <w:rFonts w:ascii="Times New Roman" w:eastAsia="Times New Roman" w:hAnsi="Times New Roman" w:cs="Times New Roman"/>
        </w:rPr>
        <w:t xml:space="preserve">ted States, described above, to integrate gender in an adaptation project </w:t>
      </w:r>
      <w:r w:rsidR="000E552D">
        <w:rPr>
          <w:rFonts w:ascii="Times New Roman" w:eastAsia="Times New Roman" w:hAnsi="Times New Roman" w:cs="Times New Roman"/>
        </w:rPr>
        <w:t>focused</w:t>
      </w:r>
      <w:r>
        <w:rPr>
          <w:rFonts w:ascii="Times New Roman" w:eastAsia="Times New Roman" w:hAnsi="Times New Roman" w:cs="Times New Roman"/>
        </w:rPr>
        <w:t xml:space="preserve"> on urban disaster preparedness through flood pr</w:t>
      </w:r>
      <w:r w:rsidR="000E552D">
        <w:rPr>
          <w:rFonts w:ascii="Times New Roman" w:eastAsia="Times New Roman" w:hAnsi="Times New Roman" w:cs="Times New Roman"/>
        </w:rPr>
        <w:t xml:space="preserve">otection activities </w:t>
      </w:r>
      <w:r>
        <w:rPr>
          <w:rFonts w:ascii="Times New Roman" w:eastAsia="Times New Roman" w:hAnsi="Times New Roman" w:cs="Times New Roman"/>
          <w:color w:val="000000"/>
        </w:rPr>
        <w:t>in Bangladesh</w:t>
      </w:r>
      <w:r w:rsidR="000E552D">
        <w:rPr>
          <w:rFonts w:ascii="Times New Roman" w:eastAsia="Times New Roman" w:hAnsi="Times New Roman" w:cs="Times New Roman"/>
          <w:color w:val="000000"/>
        </w:rPr>
        <w:t>i secondary towns</w:t>
      </w:r>
      <w:r>
        <w:rPr>
          <w:rFonts w:ascii="Times New Roman" w:eastAsia="Times New Roman" w:hAnsi="Times New Roman" w:cs="Times New Roman"/>
          <w:color w:val="000000"/>
        </w:rPr>
        <w:t>.</w:t>
      </w:r>
    </w:p>
    <w:p w14:paraId="43DD2413" w14:textId="77777777" w:rsidR="00457AC2" w:rsidRDefault="00457AC2" w:rsidP="00457AC2">
      <w:pPr>
        <w:spacing w:line="276" w:lineRule="auto"/>
        <w:rPr>
          <w:rFonts w:ascii="Times New Roman" w:eastAsia="Times New Roman" w:hAnsi="Times New Roman" w:cs="Times New Roman"/>
          <w:color w:val="000000"/>
        </w:rPr>
      </w:pPr>
    </w:p>
    <w:p w14:paraId="00000037" w14:textId="5FAD14F8" w:rsidR="00350D28" w:rsidRDefault="00457AC2">
      <w:pPr>
        <w:pBdr>
          <w:top w:val="nil"/>
          <w:left w:val="nil"/>
          <w:bottom w:val="nil"/>
          <w:right w:val="nil"/>
          <w:between w:val="nil"/>
        </w:pBdr>
        <w:shd w:val="clear" w:color="auto" w:fill="FFFFFF"/>
        <w:spacing w:after="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Frequent flooding in Bangladeshi secondary towns, exacerbated by climate change, leads to loss of viable land, damage to infrastructure, unsanitary conditions, and forced resettlement or migration, among other challenges. This project, funded by USAID and implemented by </w:t>
      </w:r>
      <w:r w:rsidR="00B26606">
        <w:rPr>
          <w:rFonts w:ascii="Times New Roman" w:eastAsia="Times New Roman" w:hAnsi="Times New Roman" w:cs="Times New Roman"/>
          <w:color w:val="000000"/>
        </w:rPr>
        <w:t>the Asian Development Bank</w:t>
      </w:r>
      <w:r>
        <w:rPr>
          <w:rFonts w:ascii="Times New Roman" w:eastAsia="Times New Roman" w:hAnsi="Times New Roman" w:cs="Times New Roman"/>
          <w:color w:val="000000"/>
        </w:rPr>
        <w:t xml:space="preserve">, works to reduce and adapt to flooding while promoting economic growth and </w:t>
      </w:r>
      <w:r w:rsidR="00BF6081">
        <w:rPr>
          <w:rFonts w:ascii="Times New Roman" w:eastAsia="Times New Roman" w:hAnsi="Times New Roman" w:cs="Times New Roman"/>
          <w:color w:val="000000"/>
        </w:rPr>
        <w:t>decreasing</w:t>
      </w:r>
      <w:r>
        <w:rPr>
          <w:rFonts w:ascii="Times New Roman" w:eastAsia="Times New Roman" w:hAnsi="Times New Roman" w:cs="Times New Roman"/>
          <w:color w:val="000000"/>
        </w:rPr>
        <w:t xml:space="preserve"> poverty by establishing a framework of integrated flood protection. </w:t>
      </w:r>
    </w:p>
    <w:p w14:paraId="00000038" w14:textId="525B2236" w:rsidR="00350D28" w:rsidRDefault="00457AC2">
      <w:pPr>
        <w:pBdr>
          <w:top w:val="nil"/>
          <w:left w:val="nil"/>
          <w:bottom w:val="nil"/>
          <w:right w:val="nil"/>
          <w:between w:val="nil"/>
        </w:pBdr>
        <w:shd w:val="clear" w:color="auto" w:fill="FFFFFF"/>
        <w:spacing w:after="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Both women and men were consulted during project preparation, including through a comprehensive sex-disaggregated baseline survey leading to data used in project development. The project also considered how sanitation development (for example, toilet design and </w:t>
      </w:r>
      <w:r w:rsidR="00B26606">
        <w:rPr>
          <w:rFonts w:ascii="Times New Roman" w:eastAsia="Times New Roman" w:hAnsi="Times New Roman" w:cs="Times New Roman"/>
          <w:color w:val="000000"/>
        </w:rPr>
        <w:t>location), resettlement compensation,</w:t>
      </w:r>
      <w:r>
        <w:rPr>
          <w:rFonts w:ascii="Times New Roman" w:eastAsia="Times New Roman" w:hAnsi="Times New Roman" w:cs="Times New Roman"/>
          <w:color w:val="000000"/>
        </w:rPr>
        <w:t xml:space="preserve"> and </w:t>
      </w:r>
      <w:r w:rsidR="00B26606">
        <w:rPr>
          <w:rFonts w:ascii="Times New Roman" w:eastAsia="Times New Roman" w:hAnsi="Times New Roman" w:cs="Times New Roman"/>
          <w:color w:val="000000"/>
        </w:rPr>
        <w:t xml:space="preserve">subsequent </w:t>
      </w:r>
      <w:r>
        <w:rPr>
          <w:rFonts w:ascii="Times New Roman" w:eastAsia="Times New Roman" w:hAnsi="Times New Roman" w:cs="Times New Roman"/>
          <w:color w:val="000000"/>
        </w:rPr>
        <w:t>actions should respond to the unique needs of women and girls.</w:t>
      </w:r>
    </w:p>
    <w:p w14:paraId="00000039" w14:textId="64EF82F8" w:rsidR="00350D28" w:rsidRDefault="00457AC2">
      <w:pPr>
        <w:pBdr>
          <w:top w:val="nil"/>
          <w:left w:val="nil"/>
          <w:bottom w:val="nil"/>
          <w:right w:val="nil"/>
          <w:between w:val="nil"/>
        </w:pBdr>
        <w:shd w:val="clear" w:color="auto" w:fill="FFFFFF"/>
        <w:spacing w:after="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Gender integration and analysis throughout the project resulted in increased female participation in and leadership of local government, including town-level environmental committees and slum improvement works led by women’s groups. The project exceeded its goal of employing 25 percent women in infrastructure construction, employed nine female engineers, and provided training, guidelines, and monitoring forms to contractors on equal wages and appropriate working conditions for women.</w:t>
      </w:r>
    </w:p>
    <w:p w14:paraId="0000003A" w14:textId="77777777" w:rsidR="00350D28" w:rsidRDefault="00457AC2">
      <w:pPr>
        <w:pBdr>
          <w:top w:val="nil"/>
          <w:left w:val="nil"/>
          <w:bottom w:val="nil"/>
          <w:right w:val="nil"/>
          <w:between w:val="nil"/>
        </w:pBdr>
        <w:shd w:val="clear" w:color="auto" w:fill="FFFFFF"/>
        <w:spacing w:after="24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0000003B" w14:textId="77777777" w:rsidR="00350D28" w:rsidRDefault="00457AC2">
      <w:pPr>
        <w:pBdr>
          <w:top w:val="nil"/>
          <w:left w:val="nil"/>
          <w:bottom w:val="nil"/>
          <w:right w:val="nil"/>
          <w:between w:val="nil"/>
        </w:pBdr>
        <w:shd w:val="clear" w:color="auto" w:fill="FFFFFF"/>
        <w:spacing w:after="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Although gender-sensitive metrics in policies and project monitoring are quite common, gender considerations throughout the lifetime of a project or policy are only now beginning to take root. Understanding the differences facing women and men in adaptation activities can unlock barriers </w:t>
      </w:r>
      <w:r>
        <w:rPr>
          <w:rFonts w:ascii="Times New Roman" w:eastAsia="Times New Roman" w:hAnsi="Times New Roman" w:cs="Times New Roman"/>
          <w:color w:val="000000"/>
        </w:rPr>
        <w:lastRenderedPageBreak/>
        <w:t xml:space="preserve">to successful NAPs and provide opportunities for women’s economic and governmental leadership. </w:t>
      </w:r>
    </w:p>
    <w:p w14:paraId="0000003C" w14:textId="03F02BC5" w:rsidR="00350D28" w:rsidRDefault="00457AC2">
      <w:pPr>
        <w:pBdr>
          <w:top w:val="nil"/>
          <w:left w:val="nil"/>
          <w:bottom w:val="nil"/>
          <w:right w:val="nil"/>
          <w:between w:val="nil"/>
        </w:pBdr>
        <w:shd w:val="clear" w:color="auto" w:fill="FFFFFF"/>
        <w:spacing w:after="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By empowering both men and women, we can address this global imperative faster and more effectively. USAID’s gender-responsive environment programming advocates for c</w:t>
      </w:r>
      <w:r w:rsidR="00374209">
        <w:rPr>
          <w:rFonts w:ascii="Times New Roman" w:eastAsia="Times New Roman" w:hAnsi="Times New Roman" w:cs="Times New Roman"/>
          <w:color w:val="000000"/>
        </w:rPr>
        <w:t>onservation and land use rights</w:t>
      </w:r>
      <w:r>
        <w:rPr>
          <w:rFonts w:ascii="Times New Roman" w:eastAsia="Times New Roman" w:hAnsi="Times New Roman" w:cs="Times New Roman"/>
          <w:color w:val="000000"/>
        </w:rPr>
        <w:t xml:space="preserve"> and </w:t>
      </w:r>
      <w:r w:rsidR="00374209">
        <w:rPr>
          <w:rFonts w:ascii="Times New Roman" w:eastAsia="Times New Roman" w:hAnsi="Times New Roman" w:cs="Times New Roman"/>
          <w:color w:val="000000"/>
        </w:rPr>
        <w:t>positions women</w:t>
      </w:r>
      <w:r w:rsidR="00374209">
        <w:rPr>
          <w:rFonts w:ascii="Times New Roman" w:eastAsia="Times New Roman" w:hAnsi="Times New Roman" w:cs="Times New Roman"/>
          <w:color w:val="000000"/>
        </w:rPr>
        <w:t xml:space="preserve"> both</w:t>
      </w:r>
      <w:bookmarkStart w:id="0" w:name="_GoBack"/>
      <w:bookmarkEnd w:id="0"/>
      <w:r w:rsidR="00374209">
        <w:rPr>
          <w:rFonts w:ascii="Times New Roman" w:eastAsia="Times New Roman" w:hAnsi="Times New Roman" w:cs="Times New Roman"/>
          <w:color w:val="000000"/>
        </w:rPr>
        <w:t xml:space="preserve"> as decis</w:t>
      </w:r>
      <w:r w:rsidR="00374209">
        <w:rPr>
          <w:rFonts w:ascii="Times New Roman" w:eastAsia="Times New Roman" w:hAnsi="Times New Roman" w:cs="Times New Roman"/>
          <w:color w:val="000000"/>
        </w:rPr>
        <w:t>ion-makers in their communities and as</w:t>
      </w:r>
      <w:r w:rsidR="0037420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early adopters of renewable energy and climate resilience.</w:t>
      </w:r>
    </w:p>
    <w:p w14:paraId="0000003D" w14:textId="77777777" w:rsidR="00350D28" w:rsidRDefault="00350D28">
      <w:pPr>
        <w:spacing w:line="276" w:lineRule="auto"/>
        <w:rPr>
          <w:rFonts w:ascii="Times New Roman" w:eastAsia="Times New Roman" w:hAnsi="Times New Roman" w:cs="Times New Roman"/>
        </w:rPr>
      </w:pPr>
    </w:p>
    <w:sectPr w:rsidR="00350D28">
      <w:footerReference w:type="even" r:id="rId10"/>
      <w:footerReference w:type="default" r:id="rId1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AFE1F" w14:textId="77777777" w:rsidR="00282BD6" w:rsidRDefault="00457AC2">
      <w:r>
        <w:separator/>
      </w:r>
    </w:p>
  </w:endnote>
  <w:endnote w:type="continuationSeparator" w:id="0">
    <w:p w14:paraId="0A8EBD32" w14:textId="77777777" w:rsidR="00282BD6" w:rsidRDefault="0045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1" w14:textId="77777777" w:rsidR="00350D28" w:rsidRDefault="00457AC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42" w14:textId="77777777" w:rsidR="00350D28" w:rsidRDefault="00350D28">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F" w14:textId="62C57FB4" w:rsidR="00350D28" w:rsidRPr="00B24F37" w:rsidRDefault="00457AC2">
    <w:pPr>
      <w:pBdr>
        <w:top w:val="nil"/>
        <w:left w:val="nil"/>
        <w:bottom w:val="nil"/>
        <w:right w:val="nil"/>
        <w:between w:val="nil"/>
      </w:pBdr>
      <w:tabs>
        <w:tab w:val="center" w:pos="4320"/>
        <w:tab w:val="right" w:pos="8640"/>
      </w:tabs>
      <w:jc w:val="right"/>
      <w:rPr>
        <w:rFonts w:ascii="Times New Roman" w:hAnsi="Times New Roman" w:cs="Times New Roman"/>
        <w:color w:val="000000"/>
        <w:sz w:val="22"/>
      </w:rPr>
    </w:pPr>
    <w:r w:rsidRPr="00B24F37">
      <w:rPr>
        <w:rFonts w:ascii="Times New Roman" w:hAnsi="Times New Roman" w:cs="Times New Roman"/>
        <w:color w:val="000000"/>
        <w:sz w:val="22"/>
      </w:rPr>
      <w:fldChar w:fldCharType="begin"/>
    </w:r>
    <w:r w:rsidRPr="00B24F37">
      <w:rPr>
        <w:rFonts w:ascii="Times New Roman" w:hAnsi="Times New Roman" w:cs="Times New Roman"/>
        <w:color w:val="000000"/>
        <w:sz w:val="22"/>
      </w:rPr>
      <w:instrText>PAGE</w:instrText>
    </w:r>
    <w:r w:rsidRPr="00B24F37">
      <w:rPr>
        <w:rFonts w:ascii="Times New Roman" w:hAnsi="Times New Roman" w:cs="Times New Roman"/>
        <w:color w:val="000000"/>
        <w:sz w:val="22"/>
      </w:rPr>
      <w:fldChar w:fldCharType="separate"/>
    </w:r>
    <w:r w:rsidR="00374209">
      <w:rPr>
        <w:rFonts w:ascii="Times New Roman" w:hAnsi="Times New Roman" w:cs="Times New Roman"/>
        <w:noProof/>
        <w:color w:val="000000"/>
        <w:sz w:val="22"/>
      </w:rPr>
      <w:t>5</w:t>
    </w:r>
    <w:r w:rsidRPr="00B24F37">
      <w:rPr>
        <w:rFonts w:ascii="Times New Roman" w:hAnsi="Times New Roman" w:cs="Times New Roman"/>
        <w:color w:val="000000"/>
        <w:sz w:val="22"/>
      </w:rPr>
      <w:fldChar w:fldCharType="end"/>
    </w:r>
  </w:p>
  <w:p w14:paraId="00000040" w14:textId="77777777" w:rsidR="00350D28" w:rsidRDefault="00350D28">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C875F" w14:textId="77777777" w:rsidR="00282BD6" w:rsidRDefault="00457AC2">
      <w:r>
        <w:separator/>
      </w:r>
    </w:p>
  </w:footnote>
  <w:footnote w:type="continuationSeparator" w:id="0">
    <w:p w14:paraId="59F6CBAF" w14:textId="77777777" w:rsidR="00282BD6" w:rsidRDefault="00457AC2">
      <w:r>
        <w:continuationSeparator/>
      </w:r>
    </w:p>
  </w:footnote>
  <w:footnote w:id="1">
    <w:p w14:paraId="0000003E" w14:textId="77777777" w:rsidR="00350D28" w:rsidRPr="005B633E" w:rsidRDefault="00457AC2">
      <w:pPr>
        <w:pBdr>
          <w:top w:val="nil"/>
          <w:left w:val="nil"/>
          <w:bottom w:val="nil"/>
          <w:right w:val="nil"/>
          <w:between w:val="nil"/>
        </w:pBdr>
        <w:rPr>
          <w:rFonts w:ascii="Times New Roman" w:hAnsi="Times New Roman" w:cs="Times New Roman"/>
          <w:color w:val="000000"/>
          <w:sz w:val="22"/>
          <w:szCs w:val="22"/>
        </w:rPr>
      </w:pPr>
      <w:r w:rsidRPr="005B633E">
        <w:rPr>
          <w:rFonts w:ascii="Times New Roman" w:hAnsi="Times New Roman" w:cs="Times New Roman"/>
          <w:sz w:val="22"/>
          <w:szCs w:val="22"/>
          <w:vertAlign w:val="superscript"/>
        </w:rPr>
        <w:footnoteRef/>
      </w:r>
      <w:r w:rsidRPr="005B633E">
        <w:rPr>
          <w:rFonts w:ascii="Times New Roman" w:hAnsi="Times New Roman" w:cs="Times New Roman"/>
          <w:color w:val="000000"/>
          <w:sz w:val="22"/>
          <w:szCs w:val="22"/>
        </w:rPr>
        <w:t xml:space="preserve"> IUCN: “Draft Guidelines to Mainstreaming Gender in the Development of National Adaptation Plans (NAPs)”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81BE3"/>
    <w:multiLevelType w:val="multilevel"/>
    <w:tmpl w:val="31CE3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4D166D"/>
    <w:multiLevelType w:val="multilevel"/>
    <w:tmpl w:val="1FAEB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D06780"/>
    <w:multiLevelType w:val="multilevel"/>
    <w:tmpl w:val="B37E7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76312E"/>
    <w:multiLevelType w:val="multilevel"/>
    <w:tmpl w:val="BDBC4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28"/>
    <w:rsid w:val="000E0ED1"/>
    <w:rsid w:val="000E19B5"/>
    <w:rsid w:val="000E552D"/>
    <w:rsid w:val="00132289"/>
    <w:rsid w:val="00275A1F"/>
    <w:rsid w:val="00282BD6"/>
    <w:rsid w:val="00350D28"/>
    <w:rsid w:val="00374209"/>
    <w:rsid w:val="00457AC2"/>
    <w:rsid w:val="00530EF7"/>
    <w:rsid w:val="00547CC0"/>
    <w:rsid w:val="005B633E"/>
    <w:rsid w:val="005D7FBD"/>
    <w:rsid w:val="005E0372"/>
    <w:rsid w:val="00656896"/>
    <w:rsid w:val="009767DF"/>
    <w:rsid w:val="00AB592F"/>
    <w:rsid w:val="00B1443E"/>
    <w:rsid w:val="00B24F37"/>
    <w:rsid w:val="00B26606"/>
    <w:rsid w:val="00B71A8C"/>
    <w:rsid w:val="00BF6081"/>
    <w:rsid w:val="00C06A4E"/>
    <w:rsid w:val="00EA0589"/>
    <w:rsid w:val="00EB5596"/>
    <w:rsid w:val="00F41A74"/>
    <w:rsid w:val="00F5342C"/>
    <w:rsid w:val="00F57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54145"/>
  <w15:docId w15:val="{CA97A388-2323-447F-9D40-2108CBC7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B5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92F"/>
    <w:rPr>
      <w:rFonts w:ascii="Segoe UI" w:hAnsi="Segoe UI" w:cs="Segoe UI"/>
      <w:sz w:val="18"/>
      <w:szCs w:val="18"/>
    </w:rPr>
  </w:style>
  <w:style w:type="paragraph" w:styleId="Header">
    <w:name w:val="header"/>
    <w:basedOn w:val="Normal"/>
    <w:link w:val="HeaderChar"/>
    <w:uiPriority w:val="99"/>
    <w:unhideWhenUsed/>
    <w:rsid w:val="00B24F37"/>
    <w:pPr>
      <w:tabs>
        <w:tab w:val="center" w:pos="4680"/>
        <w:tab w:val="right" w:pos="9360"/>
      </w:tabs>
    </w:pPr>
  </w:style>
  <w:style w:type="character" w:customStyle="1" w:styleId="HeaderChar">
    <w:name w:val="Header Char"/>
    <w:basedOn w:val="DefaultParagraphFont"/>
    <w:link w:val="Header"/>
    <w:uiPriority w:val="99"/>
    <w:rsid w:val="00B24F37"/>
  </w:style>
  <w:style w:type="paragraph" w:styleId="Footer">
    <w:name w:val="footer"/>
    <w:basedOn w:val="Normal"/>
    <w:link w:val="FooterChar"/>
    <w:uiPriority w:val="99"/>
    <w:unhideWhenUsed/>
    <w:rsid w:val="00B24F37"/>
    <w:pPr>
      <w:tabs>
        <w:tab w:val="center" w:pos="4680"/>
        <w:tab w:val="right" w:pos="9360"/>
      </w:tabs>
    </w:pPr>
  </w:style>
  <w:style w:type="character" w:customStyle="1" w:styleId="FooterChar">
    <w:name w:val="Footer Char"/>
    <w:basedOn w:val="DefaultParagraphFont"/>
    <w:link w:val="Footer"/>
    <w:uiPriority w:val="99"/>
    <w:rsid w:val="00B24F37"/>
  </w:style>
  <w:style w:type="paragraph" w:styleId="CommentSubject">
    <w:name w:val="annotation subject"/>
    <w:basedOn w:val="CommentText"/>
    <w:next w:val="CommentText"/>
    <w:link w:val="CommentSubjectChar"/>
    <w:uiPriority w:val="99"/>
    <w:semiHidden/>
    <w:unhideWhenUsed/>
    <w:rsid w:val="00F41A74"/>
    <w:rPr>
      <w:b/>
      <w:bCs/>
    </w:rPr>
  </w:style>
  <w:style w:type="character" w:customStyle="1" w:styleId="CommentSubjectChar">
    <w:name w:val="Comment Subject Char"/>
    <w:basedOn w:val="CommentTextChar"/>
    <w:link w:val="CommentSubject"/>
    <w:uiPriority w:val="99"/>
    <w:semiHidden/>
    <w:rsid w:val="00F41A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6920f5ab-9618-4f6e-a652-41e6f8b811ff">2019</Year>
    <UNF3CSPEntity xmlns="cd1c2313-39f8-4f5d-8e14-5f0ea1c36a8a">United States of America</UNF3CSPEntity>
    <UNF3CSPInvitationToSubmit xmlns="cd1c2313-39f8-4f5d-8e14-5f0ea1c36a8a">1248</UNF3CSPInvitationToSubmit>
    <UNF3CSPSubmissionDate xmlns="6920f5ab-9618-4f6e-a652-41e6f8b811ff">2019-08-22T15:50:00+00:00</UNF3CSPSubmissionDate>
    <UNF3CSPEntityType xmlns="6920f5ab-9618-4f6e-a652-41e6f8b811ff">Party</UNF3CSPEntityType>
    <Issue xmlns="6920f5ab-9618-4f6e-a652-41e6f8b811ff">Parties to the UNFCCC have recognized the importance of involving women and men equally in the UNFCCC process and in the development and implementation of national climate policies that are gender-responsive. In this regard, Parties and relevant organizations are invited to submit their views on how to mainstream gender considerations in the national adaptation planning process. 
Please copy the follwoing link to acess the guiding questions: https://unfccc.int/process-and-meetings/bodies/constituted-bodies/adaptation-committee-ac/adaptation-committee-call-for-submissions-on-how-to-mainstream-gender-considerations-in-the-nap
</Issue>
    <UNF3CSPDescription xmlns="cd1c2313-39f8-4f5d-8e14-5f0ea1c36a8a">United States of America</UNF3CSPDescription>
    <Date_x0020_Of_x0020_Call xmlns="6920f5ab-9618-4f6e-a652-41e6f8b811ff">2019-07-14T22:00:00+00:00</Date_x0020_Of_x0020_Call>
    <UNF3CSPLanguage xmlns="cd1c2313-39f8-4f5d-8e14-5f0ea1c36a8a">English</UNF3CSPLanguage>
    <Mandate xmlns="6920f5ab-9618-4f6e-a652-41e6f8b811ff">Included in the workplan of the Adaptation Committee for the years 2019-2021</Mandate>
    <Session xmlns="6920f5ab-9618-4f6e-a652-41e6f8b811ff">Constituted body meeting</Session>
    <SourceItemID xmlns="6920f5ab-9618-4f6e-a652-41e6f8b811ff" xsi:nil="true"/>
    <Theme xmlns="6920f5ab-9618-4f6e-a652-41e6f8b811ff" xsi:nil="true"/>
    <UNF3CSPBody xmlns="6920f5ab-9618-4f6e-a652-41e6f8b811ff">Constituted bodies</UNF3CSPBody>
    <UNF3CSPThematicAreas xmlns="6920f5ab-9618-4f6e-a652-41e6f8b811f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0A746-E800-4A8A-838D-31FA4D760FDF}"/>
</file>

<file path=customXml/itemProps2.xml><?xml version="1.0" encoding="utf-8"?>
<ds:datastoreItem xmlns:ds="http://schemas.openxmlformats.org/officeDocument/2006/customXml" ds:itemID="{E4515C08-E245-4818-BBA1-D0DEFCA573DB}"/>
</file>

<file path=customXml/itemProps3.xml><?xml version="1.0" encoding="utf-8"?>
<ds:datastoreItem xmlns:ds="http://schemas.openxmlformats.org/officeDocument/2006/customXml" ds:itemID="{B95BA469-ED19-46D2-807D-40C46A811B48}"/>
</file>

<file path=docProps/app.xml><?xml version="1.0" encoding="utf-8"?>
<Properties xmlns="http://schemas.openxmlformats.org/officeDocument/2006/extended-properties" xmlns:vt="http://schemas.openxmlformats.org/officeDocument/2006/docPropsVTypes">
  <Template>Normal</Template>
  <TotalTime>8</TotalTime>
  <Pages>5</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Neustaetter, Andrew C</dc:creator>
  <cp:lastModifiedBy>Goldberg, Catherine A</cp:lastModifiedBy>
  <cp:revision>3</cp:revision>
  <dcterms:created xsi:type="dcterms:W3CDTF">2019-08-22T19:39:00Z</dcterms:created>
  <dcterms:modified xsi:type="dcterms:W3CDTF">2019-08-22T19:46:00Z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rder">
    <vt:r8>252300</vt:r8>
  </property>
  <property fmtid="{D5CDD505-2E9C-101B-9397-08002B2CF9AE}" pid="4" name="xd_ProgID">
    <vt:lpwstr/>
  </property>
  <property fmtid="{D5CDD505-2E9C-101B-9397-08002B2CF9AE}" pid="5" name="_CopySource">
    <vt:lpwstr>https://process.unfccc.int/sites/SubmissionsStaging/Documents/201908221550---USA AC Gender submission 8.22.19.docx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